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5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800"/>
        <w:gridCol w:w="3365"/>
        <w:gridCol w:w="654"/>
        <w:gridCol w:w="2745"/>
        <w:gridCol w:w="1992"/>
      </w:tblGrid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Ходатайство об установлении публичного сервитута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>
          <w:trHeight w:val="469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Администрация 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города Мичуринска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 Тамбовской области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r>
            <w:r/>
          </w:p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(наименование органа, принимающего решение об установлении публичного сервитута)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Сведения о лице, представившем ходатайство об установлении публичного сервитута (далее - заявитель):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2.1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Полное наименование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Акционерное общество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                      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«Газпром газораспределение Тамбов»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2.2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Сокращенное наименование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АО «Газпром газораспределение Тамбов»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2.3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Организационно-правовая форма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Акционерное общество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2.4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Почтовый адрес (индекс, субъект Российской Федерации, населенный пункт, улица, дом)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contextualSpacing/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392000, Тамбовская область, </w:t>
            </w:r>
            <w:r>
              <w:rPr>
                <w:rFonts w:ascii="Times New Roman" w:hAnsi="Times New Roman" w:cs="Times New Roman"/>
              </w:rPr>
            </w:r>
            <w:r/>
          </w:p>
          <w:p>
            <w:pPr>
              <w:contextualSpacing/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г. Тамбов, ул. Московская, д. 19Д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2.5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Адрес электронной почты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info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@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tog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.ru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2.6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ОГРН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1026801221810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2.7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ИНН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6832003117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Сведения о представителе заявителя: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vMerge w:val="restart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3.1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Фамилия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Лях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</w:r>
            <w:r/>
          </w:p>
        </w:tc>
      </w:tr>
      <w:tr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Имя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Borders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Павел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Отчество (при наличии)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Borders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Тадеушевич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3.2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Адрес электронной почты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info@tog.ru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3.3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Телефон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tbl>
            <w:tblPr>
              <w:tblW w:w="0" w:type="auto"/>
              <w:jc w:val="center"/>
              <w:tblBorders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tblBorders>
              <w:tblLook w:val="0000" w:firstRow="0" w:lastRow="0" w:firstColumn="0" w:lastColumn="0" w:noHBand="0" w:noVBand="0"/>
            </w:tblPr>
            <w:tblGrid>
              <w:gridCol w:w="1955"/>
            </w:tblGrid>
            <w:tr>
              <w:trPr>
                <w:jc w:val="center"/>
                <w:trHeight w:val="67"/>
              </w:trPr>
              <w:tc>
                <w:tcPr>
                  <w:tcW w:w="0" w:type="auto"/>
                  <w:textDirection w:val="lrTb"/>
                  <w:noWrap w:val="false"/>
                </w:tcPr>
                <w:p>
                  <w:pPr>
                    <w:pStyle w:val="818"/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bCs/>
                      <w:color w:val="auto"/>
                      <w:sz w:val="22"/>
                      <w:szCs w:val="22"/>
                      <w:lang w:eastAsia="ru-RU"/>
                    </w:rPr>
                    <w:t xml:space="preserve">+7 (4752) 78-42-19</w:t>
                  </w:r>
                  <w:r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r>
                  <w:r/>
                </w:p>
              </w:tc>
            </w:tr>
          </w:tbl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3.4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Наименование и реквизиты документа, подтверждающего полномочия представителя заявителя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vAlign w:val="center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highlight w:val="none"/>
              </w:rPr>
              <w:t xml:space="preserve">Приказ № 175 от 20.05.2025</w:t>
            </w:r>
            <w:r>
              <w:rPr>
                <w:rFonts w:ascii="Times New Roman" w:hAnsi="Times New Roman" w:cs="Times New Roman" w:eastAsia="Times New Roman"/>
                <w:b/>
                <w:bCs/>
                <w:highlight w:val="white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Прошу установить публичный сервитут в отношении земель и (или) земельного(ых) участка(ов) в целях (указываются цели, предусмотренные статьей 39.37 Земельного кодекса Российской Федерации или статьей 3.6 Федерального закона от 25 октября 2001 г.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137-ФЗ "О введении в действие Земельного кодекса Российской Федерации", частью 4.2 статьи 25 Федеральн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ого закона от 8 ноября 2007 г. №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Федерации"):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i/>
              </w:rPr>
              <w:t xml:space="preserve">в целях размещения сооружения, право собственности на которое возникло до 01.09.2018 и которое может размещаться на земельном участке и (или) землях на основании публичного сервитута</w:t>
            </w:r>
            <w:r>
              <w:rPr>
                <w:rFonts w:ascii="Times New Roman" w:hAnsi="Times New Roman" w:cs="Times New Roman"/>
                <w:i/>
              </w:rPr>
              <w:t xml:space="preserve"> (в соответствии с п. </w:t>
            </w:r>
            <w:r>
              <w:rPr>
                <w:rFonts w:ascii="Times New Roman" w:hAnsi="Times New Roman" w:cs="Times New Roman"/>
                <w:i/>
              </w:rPr>
              <w:t xml:space="preserve">3</w:t>
            </w:r>
            <w:r>
              <w:rPr>
                <w:rFonts w:ascii="Times New Roman" w:hAnsi="Times New Roman" w:cs="Times New Roman"/>
                <w:i/>
              </w:rPr>
              <w:t xml:space="preserve"> ст. </w:t>
            </w:r>
            <w:r>
              <w:rPr>
                <w:rFonts w:ascii="Times New Roman" w:hAnsi="Times New Roman" w:cs="Times New Roman"/>
                <w:i/>
              </w:rPr>
              <w:t xml:space="preserve">3.6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</w:rPr>
              <w:t xml:space="preserve">Федерального закона от 25 октября 2001 г. № 137-ФЗ «О введении в действие Земельного кодекса Российской Федерации»</w:t>
            </w:r>
            <w:r>
              <w:rPr>
                <w:rFonts w:ascii="Times New Roman" w:hAnsi="Times New Roman" w:cs="Times New Roman"/>
                <w:i/>
              </w:rPr>
              <w:t xml:space="preserve">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Испрашиваемый срок публичного сервитута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                    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49 лет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</w:t>
            </w:r>
            <w:hyperlink r:id="rId8" w:tooltip="https://base.garant.ru/12124624/0deb16c5f61d078635b619914dde3291/#block_394114" w:anchor="block_394114" w:history="1">
              <w:r>
                <w:rPr>
                  <w:rFonts w:ascii="Times New Roman" w:hAnsi="Times New Roman" w:cs="Times New Roman" w:eastAsia="Times New Roman"/>
                  <w:b/>
                  <w:bCs/>
                  <w:lang w:eastAsia="ru-RU"/>
                </w:rPr>
                <w:t xml:space="preserve">подпунктом 4 пункта 1 статьи 39.41</w:t>
              </w:r>
            </w:hyperlink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Земельного кодекса Российской Федерации невозможно или существенно затруднено (при возникновении таких обстоятельств)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Cs/>
                <w:i/>
                <w:highlight w:val="non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Срок не установлен. График выполнения р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абот при осуществлении деятельности, для которой устанавливается публичный сервитут, определяются требованиями «ГОСТ 34741-2021. Межгосударственный стандарт. Системы газораспределительные. Требования к эксплуатации сетей газораспределения природного газа».</w:t>
            </w:r>
            <w:r>
              <w:rPr>
                <w:rFonts w:ascii="Times New Roman" w:hAnsi="Times New Roman" w:cs="Times New Roman" w:eastAsia="Times New Roman"/>
                <w:bCs/>
                <w:i/>
                <w:highlight w:val="none"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Обоснование необходимости ус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тановления публичного сервитута: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/>
                <w:highlight w:val="non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копия свидетельства о государственной регистрации права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от 09.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12.20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13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на 1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л. в 1 экз. 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(эксплуатация существующего с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ооружения с кадаст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ровым номером 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68: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26:0000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161:209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i/>
                <w:highlight w:val="none"/>
                <w:lang w:eastAsia="ru-RU"/>
              </w:rPr>
            </w:r>
            <w:r/>
          </w:p>
        </w:tc>
      </w:tr>
      <w:tr>
        <w:trPr>
          <w:trHeight w:val="709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Сведения о правообладателе инженерного сооружения, которое переносится в связи с изъятием земельного участк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 для государственных или муниципальных нужд, а также о правообладателе инженерного сооружения, являющегося линейным объектом, реконструкция, капитальный ремонт которого (реконструкция, капитальный ремонт участков (частей) которого) осуществляются в связи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 планируемым строительством, реконструкцией, капитальным ремонтом объектов капитального строительства, в случае, если заявитель не является правообладателем указанного инженерного сооружения (в данном случае указываются сведения в объеме, предусмотренном </w:t>
            </w:r>
            <w:hyperlink r:id="rId9" w:tooltip="https://internet.garant.ru/#/document/404780709/entry/11002" w:anchor="/document/404780709/entry/11002" w:history="1">
              <w:r>
                <w:rPr>
                  <w:rFonts w:ascii="Times New Roman" w:hAnsi="Times New Roman" w:cs="Times New Roman" w:eastAsia="Times New Roman"/>
                  <w:b/>
                  <w:bCs/>
                  <w:lang w:eastAsia="ru-RU"/>
                </w:rPr>
                <w:t xml:space="preserve">строкой 2</w:t>
              </w:r>
            </w:hyperlink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 настоящей формы) (заполняется в случае, если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ходатайство об установлении публичного сервитута подается с целью установления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публичного сервитута в целях реконструкции инженерного сооружения, являющегося линейным объектом, реконструкции его участка (части), которое переносится в связи с изъятием такого земельного участка для государственных или муниципальных нужд, а также если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ходатайство об установлении публичного сервитута подается с целью установления публичного сервитута в целях реконструкции, капитального ремонта инженерного сооружения, являющегося линейным объектом, реконструкции, капитального ремонта его участков (частей)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85376" behindDoc="0" locked="0" layoutInCell="1" allowOverlap="1">
                      <wp:simplePos x="0" y="0"/>
                      <wp:positionH relativeFrom="column">
                        <wp:posOffset>2341245</wp:posOffset>
                      </wp:positionH>
                      <wp:positionV relativeFrom="paragraph">
                        <wp:posOffset>71755</wp:posOffset>
                      </wp:positionV>
                      <wp:extent cx="752475" cy="0"/>
                      <wp:effectExtent l="0" t="0" r="9525" b="19050"/>
                      <wp:wrapNone/>
                      <wp:docPr id="1" name="Прямая соединительная линия 5" hidden="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/>
                            <wps:spPr bwMode="auto"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 0" o:spid="_x0000_s0" o:spt="20" style="position:absolute;mso-wrap-distance-left:9.0pt;mso-wrap-distance-top:0.0pt;mso-wrap-distance-right:9.0pt;mso-wrap-distance-bottom:0.0pt;z-index:251685376;o:allowoverlap:true;o:allowincell:true;mso-position-horizontal-relative:text;margin-left:184.3pt;mso-position-horizontal:absolute;mso-position-vertical-relative:text;margin-top:5.6pt;mso-position-vertical:absolute;width:59.2pt;height:0.0pt;" coordsize="100000,100000" path="" filled="f" strokecolor="#000000" strokeweight="0.75pt">
                      <v:path textboxrect="0,0,0,0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>
          <w:trHeight w:val="855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4019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4737" w:type="dxa"/>
            <w:textDirection w:val="lrTb"/>
            <w:noWrap w:val="false"/>
          </w:tcPr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  <w:t xml:space="preserve">68:26:0000137:148</w:t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обл, г Мичуринск, ул Набережная, д 331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white"/>
              </w:rPr>
              <w:t xml:space="preserve">68:26:0000161:27</w:t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обл., г. Мичуринск, ул. Набережная, д. 339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white"/>
              </w:rPr>
              <w:t xml:space="preserve">68:26:0000161:7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  <w:t xml:space="preserve">83</w:t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обл., г. Мичуринск, ул. Набережная, д. 337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white"/>
              </w:rPr>
              <w:t xml:space="preserve">68:26:0000137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white"/>
              </w:rPr>
              <w:t xml:space="preserve">:</w:t>
            </w:r>
            <w:r>
              <w:rPr>
                <w:rFonts w:ascii="Liberation Serif" w:hAnsi="Liberation Serif" w:cs="Liberation Serif" w:eastAsia="Liberation Serif"/>
                <w:b/>
                <w:sz w:val="24"/>
              </w:rPr>
              <w:t xml:space="preserve">26</w:t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область, городской округ город Мичуринск, город Мичуринск, улица Набережная д. 165-167</w:t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white"/>
              </w:rPr>
              <w:t xml:space="preserve">68:26:0000161: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  <w:t xml:space="preserve">983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область, г. Мичуринск, ул. Набережная</w:t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white"/>
              </w:rPr>
              <w:t xml:space="preserve">68:26:0000161:</w:t>
            </w:r>
            <w:r>
              <w:rPr>
                <w:rFonts w:ascii="Liberation Serif" w:hAnsi="Liberation Serif" w:cs="Liberation Serif" w:eastAsia="Liberation Serif"/>
                <w:b/>
                <w:sz w:val="24"/>
              </w:rPr>
              <w:t xml:space="preserve">53</w:t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область, г Мичуринск, ул Набережная, д 213</w:t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white"/>
              </w:rPr>
              <w:t xml:space="preserve">68:26:0000161: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  <w:t xml:space="preserve">61</w:t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обл, г Мичуринск, ул Набережная, д 355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white"/>
              </w:rPr>
              <w:t xml:space="preserve">68:26:0000161: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  <w:t xml:space="preserve">978</w:t>
            </w:r>
            <w:r>
              <w:rPr>
                <w:rFonts w:ascii="Liberation Serif" w:hAnsi="Liberation Serif" w:cs="Liberation Serif" w:eastAsia="Liberation Serif"/>
                <w:b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Российская Федерация, Тамбовская область, городской округ город Мичуринск, город Мичуринск, улица Набережная, 179</w:t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white"/>
              </w:rPr>
              <w:t xml:space="preserve">68:26:0000161: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  <w:t xml:space="preserve">979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Российская Федерация, Тамбовская область, городской округ город Мичуринск, город Мичуринск, улица Набережная, 183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white"/>
              </w:rPr>
              <w:t xml:space="preserve">68:26:0000161: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  <w:t xml:space="preserve">126</w:t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область, г. Мичуринск, ул. Набережная, д. № 185"а"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white"/>
              </w:rPr>
              <w:t xml:space="preserve">68:26:0000161: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  <w:t xml:space="preserve">127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область, г. Мичуринск, ул. Набережная, д. № 185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white"/>
              </w:rPr>
              <w:t xml:space="preserve">68:26:0000161:24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обл, г Мичуринск, ул Набережная, д 341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white"/>
              </w:rPr>
              <w:t xml:space="preserve">68:26:0000161:55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область, г. Мичуринск, ул. Набережная, д. 335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white"/>
              </w:rPr>
              <w:t xml:space="preserve">68:26:0000161:17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Местоположение установлено относительно ориентира, расположенного в границах участка. Ориентир жилой дом. Почтовый адрес ориентира: Тамбовская область, г Мичуринск, ул Набережная, д 333.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white"/>
              </w:rPr>
              <w:t xml:space="preserve">68:26:0000161:119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обл, г Мичуринск, ул Набережная, д 207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white"/>
              </w:rPr>
              <w:t xml:space="preserve">68:26:0000161:34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обл, г Мичуринск, ул Набережная, д 205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highlight w:val="white"/>
              </w:rPr>
              <w:t xml:space="preserve">68:26:0000161:126</w:t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область, г. Мичуринск, ул. Набережная, д. № 185"а"</w:t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обл., г. Мичуринск, ул. Набережная, д. 325</w:t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ans" w:hAnsi="Liberation Sans" w:cs="Liberation Sans" w:eastAsia="Liberation Sans"/>
                <w:color w:val="252625"/>
                <w:sz w:val="24"/>
                <w:highlight w:val="none"/>
              </w:rPr>
            </w:r>
            <w:r>
              <w:rPr>
                <w:rFonts w:ascii="Liberation Sans" w:hAnsi="Liberation Sans" w:cs="Liberation Sans" w:eastAsia="Liberation Sans"/>
                <w:color w:val="252625"/>
                <w:sz w:val="24"/>
                <w:highlight w:val="none"/>
              </w:rPr>
            </w:r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Право, на котором инженерное сооружение принадлежит заявителю (если п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одано ходатайство об установлении публичного сервитута для реконструкции, капитального ремонта или эксплуатации указанного инженерного сооружения, реконструкции или капитального ремонта участка (части) инженерного сооружения, являющегося линейным объектом)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: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собственность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vMerge w:val="restart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Сведения о способах представления результатов рассмотрения ходатайства: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в виде электронного документа, который направляется уполномоченным органом заявителю посредством электронной почты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нет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r>
            <w:r/>
          </w:p>
        </w:tc>
      </w:tr>
      <w:tr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в виде бумажного документа, который заявитель получает непосредственно 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при личном обращении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или посредством почтового отправления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да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Документы, прилагаемые к ходатайству: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- сведения о границах публичного сервитута на бумажном носителе на 7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л. в 1 экз.;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копия свидетельства о государственной регистрации права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от 09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.12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.20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13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на 1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л. в 1 экз.;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/>
                <w:i/>
                <w:lang w:eastAsia="ru-RU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копия приказа № 175 от 20.05.2025</w:t>
            </w:r>
            <w:r>
              <w:rPr>
                <w:rFonts w:ascii="Times New Roman" w:hAnsi="Times New Roman" w:cs="Times New Roman" w:eastAsia="Times New Roman"/>
                <w:b/>
                <w:bCs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i/>
                <w:highlight w:val="white"/>
                <w:lang w:eastAsia="ru-RU"/>
              </w:rPr>
              <w:t xml:space="preserve">на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1 л. в 1 экз.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Всего: на 9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л.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</w:tc>
      </w:tr>
      <w:tr>
        <w:trPr>
          <w:trHeight w:val="1519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13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Подтверждаю согласие на обработку персональных данных (сбор, систематизацию, накопление, хранение, уточнение (обновление, изменение), использование, распростране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соответствии с законодательством Российской Федерации), в том числе в автоматизированном режиме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14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Подтверждаю, что сведения, указанные в настоящем ходатайстве, на дату представления ходатайства достоверны; документы (копии документов) и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содержащиеся в них сведения соответствуют требованиям, установленным </w:t>
            </w:r>
            <w:hyperlink r:id="rId10" w:tooltip="https://base.garant.ru/12124624/0deb16c5f61d078635b619914dde3291/#block_39410" w:anchor="block_39410" w:history="1">
              <w:r>
                <w:rPr>
                  <w:rFonts w:ascii="Times New Roman" w:hAnsi="Times New Roman" w:cs="Times New Roman" w:eastAsia="Times New Roman"/>
                  <w:b/>
                  <w:bCs/>
                  <w:lang w:eastAsia="ru-RU"/>
                </w:rPr>
                <w:t xml:space="preserve">статьей 39.41</w:t>
              </w:r>
            </w:hyperlink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Земельного кодекса Российской Федерации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15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Подпись: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Дата: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 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___________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  (подпись)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3399" w:type="dxa"/>
            <w:textDirection w:val="lrTb"/>
            <w:noWrap w:val="false"/>
          </w:tcPr>
          <w:p>
            <w:pPr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    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П.Т. Лях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r>
            <w:r/>
          </w:p>
          <w:p>
            <w:pPr>
              <w:jc w:val="center"/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(инициалы, фамилия)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"___" ____ _____ г.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/>
    </w:p>
    <w:sectPr>
      <w:footnotePr/>
      <w:endnotePr/>
      <w:type w:val="nextPage"/>
      <w:pgSz w:w="11906" w:h="16838" w:orient="portrait"/>
      <w:pgMar w:top="567" w:right="851" w:bottom="28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panose1 w:val="020B0604020202020204"/>
  </w:font>
  <w:font w:name="Liberation Serif">
    <w:panose1 w:val="02020603050405020304"/>
  </w:font>
  <w:font w:name="Segoe UI">
    <w:panose1 w:val="020B050302020302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4">
    <w:name w:val="Heading 1"/>
    <w:basedOn w:val="809"/>
    <w:next w:val="809"/>
    <w:link w:val="635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635">
    <w:name w:val="Heading 1 Char"/>
    <w:basedOn w:val="810"/>
    <w:link w:val="634"/>
    <w:uiPriority w:val="9"/>
    <w:rPr>
      <w:rFonts w:ascii="Arial" w:hAnsi="Arial" w:cs="Arial" w:eastAsia="Arial"/>
      <w:sz w:val="40"/>
      <w:szCs w:val="40"/>
    </w:rPr>
  </w:style>
  <w:style w:type="paragraph" w:styleId="636">
    <w:name w:val="Heading 2"/>
    <w:basedOn w:val="809"/>
    <w:next w:val="809"/>
    <w:link w:val="63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637">
    <w:name w:val="Heading 2 Char"/>
    <w:basedOn w:val="810"/>
    <w:link w:val="636"/>
    <w:uiPriority w:val="9"/>
    <w:rPr>
      <w:rFonts w:ascii="Arial" w:hAnsi="Arial" w:cs="Arial" w:eastAsia="Arial"/>
      <w:sz w:val="34"/>
    </w:rPr>
  </w:style>
  <w:style w:type="paragraph" w:styleId="638">
    <w:name w:val="Heading 3"/>
    <w:basedOn w:val="809"/>
    <w:next w:val="809"/>
    <w:link w:val="63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639">
    <w:name w:val="Heading 3 Char"/>
    <w:basedOn w:val="810"/>
    <w:link w:val="638"/>
    <w:uiPriority w:val="9"/>
    <w:rPr>
      <w:rFonts w:ascii="Arial" w:hAnsi="Arial" w:cs="Arial" w:eastAsia="Arial"/>
      <w:sz w:val="30"/>
      <w:szCs w:val="30"/>
    </w:rPr>
  </w:style>
  <w:style w:type="paragraph" w:styleId="640">
    <w:name w:val="Heading 4"/>
    <w:basedOn w:val="809"/>
    <w:next w:val="809"/>
    <w:link w:val="64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641">
    <w:name w:val="Heading 4 Char"/>
    <w:basedOn w:val="810"/>
    <w:link w:val="640"/>
    <w:uiPriority w:val="9"/>
    <w:rPr>
      <w:rFonts w:ascii="Arial" w:hAnsi="Arial" w:cs="Arial" w:eastAsia="Arial"/>
      <w:b/>
      <w:bCs/>
      <w:sz w:val="26"/>
      <w:szCs w:val="26"/>
    </w:rPr>
  </w:style>
  <w:style w:type="paragraph" w:styleId="642">
    <w:name w:val="Heading 5"/>
    <w:basedOn w:val="809"/>
    <w:next w:val="809"/>
    <w:link w:val="64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643">
    <w:name w:val="Heading 5 Char"/>
    <w:basedOn w:val="810"/>
    <w:link w:val="642"/>
    <w:uiPriority w:val="9"/>
    <w:rPr>
      <w:rFonts w:ascii="Arial" w:hAnsi="Arial" w:cs="Arial" w:eastAsia="Arial"/>
      <w:b/>
      <w:bCs/>
      <w:sz w:val="24"/>
      <w:szCs w:val="24"/>
    </w:rPr>
  </w:style>
  <w:style w:type="paragraph" w:styleId="644">
    <w:name w:val="Heading 6"/>
    <w:basedOn w:val="809"/>
    <w:next w:val="809"/>
    <w:link w:val="64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645">
    <w:name w:val="Heading 6 Char"/>
    <w:basedOn w:val="810"/>
    <w:link w:val="644"/>
    <w:uiPriority w:val="9"/>
    <w:rPr>
      <w:rFonts w:ascii="Arial" w:hAnsi="Arial" w:cs="Arial" w:eastAsia="Arial"/>
      <w:b/>
      <w:bCs/>
      <w:sz w:val="22"/>
      <w:szCs w:val="22"/>
    </w:rPr>
  </w:style>
  <w:style w:type="paragraph" w:styleId="646">
    <w:name w:val="Heading 7"/>
    <w:basedOn w:val="809"/>
    <w:next w:val="809"/>
    <w:link w:val="64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647">
    <w:name w:val="Heading 7 Char"/>
    <w:basedOn w:val="810"/>
    <w:link w:val="646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48">
    <w:name w:val="Heading 8"/>
    <w:basedOn w:val="809"/>
    <w:next w:val="809"/>
    <w:link w:val="64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649">
    <w:name w:val="Heading 8 Char"/>
    <w:basedOn w:val="810"/>
    <w:link w:val="648"/>
    <w:uiPriority w:val="9"/>
    <w:rPr>
      <w:rFonts w:ascii="Arial" w:hAnsi="Arial" w:cs="Arial" w:eastAsia="Arial"/>
      <w:i/>
      <w:iCs/>
      <w:sz w:val="22"/>
      <w:szCs w:val="22"/>
    </w:rPr>
  </w:style>
  <w:style w:type="paragraph" w:styleId="650">
    <w:name w:val="Heading 9"/>
    <w:basedOn w:val="809"/>
    <w:next w:val="809"/>
    <w:link w:val="65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651">
    <w:name w:val="Heading 9 Char"/>
    <w:basedOn w:val="810"/>
    <w:link w:val="650"/>
    <w:uiPriority w:val="9"/>
    <w:rPr>
      <w:rFonts w:ascii="Arial" w:hAnsi="Arial" w:cs="Arial" w:eastAsia="Arial"/>
      <w:i/>
      <w:iCs/>
      <w:sz w:val="21"/>
      <w:szCs w:val="21"/>
    </w:rPr>
  </w:style>
  <w:style w:type="paragraph" w:styleId="652">
    <w:name w:val="List Paragraph"/>
    <w:basedOn w:val="809"/>
    <w:uiPriority w:val="34"/>
    <w:qFormat/>
    <w:pPr>
      <w:contextualSpacing/>
      <w:ind w:left="720"/>
    </w:pPr>
  </w:style>
  <w:style w:type="paragraph" w:styleId="653">
    <w:name w:val="No Spacing"/>
    <w:uiPriority w:val="1"/>
    <w:qFormat/>
    <w:pPr>
      <w:spacing w:before="0" w:after="0" w:line="240" w:lineRule="auto"/>
    </w:pPr>
  </w:style>
  <w:style w:type="paragraph" w:styleId="654">
    <w:name w:val="Title"/>
    <w:basedOn w:val="809"/>
    <w:next w:val="809"/>
    <w:link w:val="65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5">
    <w:name w:val="Title Char"/>
    <w:basedOn w:val="810"/>
    <w:link w:val="654"/>
    <w:uiPriority w:val="10"/>
    <w:rPr>
      <w:sz w:val="48"/>
      <w:szCs w:val="48"/>
    </w:rPr>
  </w:style>
  <w:style w:type="paragraph" w:styleId="656">
    <w:name w:val="Subtitle"/>
    <w:basedOn w:val="809"/>
    <w:next w:val="809"/>
    <w:link w:val="657"/>
    <w:uiPriority w:val="11"/>
    <w:qFormat/>
    <w:pPr>
      <w:spacing w:before="200" w:after="200"/>
    </w:pPr>
    <w:rPr>
      <w:sz w:val="24"/>
      <w:szCs w:val="24"/>
    </w:rPr>
  </w:style>
  <w:style w:type="character" w:styleId="657">
    <w:name w:val="Subtitle Char"/>
    <w:basedOn w:val="810"/>
    <w:link w:val="656"/>
    <w:uiPriority w:val="11"/>
    <w:rPr>
      <w:sz w:val="24"/>
      <w:szCs w:val="24"/>
    </w:rPr>
  </w:style>
  <w:style w:type="paragraph" w:styleId="658">
    <w:name w:val="Quote"/>
    <w:basedOn w:val="809"/>
    <w:next w:val="809"/>
    <w:link w:val="659"/>
    <w:uiPriority w:val="29"/>
    <w:qFormat/>
    <w:pPr>
      <w:ind w:left="720" w:right="720"/>
    </w:pPr>
    <w:rPr>
      <w:i/>
    </w:rPr>
  </w:style>
  <w:style w:type="character" w:styleId="659">
    <w:name w:val="Quote Char"/>
    <w:link w:val="658"/>
    <w:uiPriority w:val="29"/>
    <w:rPr>
      <w:i/>
    </w:rPr>
  </w:style>
  <w:style w:type="paragraph" w:styleId="660">
    <w:name w:val="Intense Quote"/>
    <w:basedOn w:val="809"/>
    <w:next w:val="809"/>
    <w:link w:val="66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1">
    <w:name w:val="Intense Quote Char"/>
    <w:link w:val="660"/>
    <w:uiPriority w:val="30"/>
    <w:rPr>
      <w:i/>
    </w:rPr>
  </w:style>
  <w:style w:type="character" w:styleId="662">
    <w:name w:val="Header Char"/>
    <w:basedOn w:val="810"/>
    <w:link w:val="820"/>
    <w:uiPriority w:val="99"/>
  </w:style>
  <w:style w:type="character" w:styleId="663">
    <w:name w:val="Footer Char"/>
    <w:basedOn w:val="810"/>
    <w:link w:val="822"/>
    <w:uiPriority w:val="99"/>
  </w:style>
  <w:style w:type="paragraph" w:styleId="664">
    <w:name w:val="Caption"/>
    <w:basedOn w:val="809"/>
    <w:next w:val="809"/>
    <w:link w:val="66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5">
    <w:name w:val="Caption Char"/>
    <w:basedOn w:val="664"/>
    <w:link w:val="822"/>
    <w:uiPriority w:val="99"/>
  </w:style>
  <w:style w:type="table" w:styleId="666">
    <w:name w:val="Table Grid"/>
    <w:basedOn w:val="81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7">
    <w:name w:val="Table Grid Light"/>
    <w:basedOn w:val="8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8">
    <w:name w:val="Plain Table 1"/>
    <w:basedOn w:val="8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69">
    <w:name w:val="Plain Table 2"/>
    <w:basedOn w:val="81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0">
    <w:name w:val="Plain Table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1">
    <w:name w:val="Plain Table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2">
    <w:name w:val="Plain Table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3">
    <w:name w:val="Grid Table 1 Light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4">
    <w:name w:val="Grid Table 1 Light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5">
    <w:name w:val="Grid Table 1 Light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1">
    <w:name w:val="Grid Table 2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2">
    <w:name w:val="Grid Table 2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3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4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5">
    <w:name w:val="Grid Table 4 - Accent 1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6">
    <w:name w:val="Grid Table 4 - Accent 2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7">
    <w:name w:val="Grid Table 4 - Accent 3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698">
    <w:name w:val="Grid Table 4 - Accent 4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699">
    <w:name w:val="Grid Table 4 - Accent 5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0">
    <w:name w:val="Grid Table 4 - Accent 6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1">
    <w:name w:val="Grid Table 5 Dark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2">
    <w:name w:val="Grid Table 5 Dark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03">
    <w:name w:val="Grid Table 5 Dark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04">
    <w:name w:val="Grid Table 5 Dark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05">
    <w:name w:val="Grid Table 5 Dark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06">
    <w:name w:val="Grid Table 5 Dark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07">
    <w:name w:val="Grid Table 5 Dark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08">
    <w:name w:val="Grid Table 6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09">
    <w:name w:val="Grid Table 6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0">
    <w:name w:val="Grid Table 6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1">
    <w:name w:val="Grid Table 6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2">
    <w:name w:val="Grid Table 6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3">
    <w:name w:val="Grid Table 6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4">
    <w:name w:val="Grid Table 6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5">
    <w:name w:val="Grid Table 7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7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7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List Table 1 Light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List Table 1 Light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0">
    <w:name w:val="List Table 2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1">
    <w:name w:val="List Table 2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2">
    <w:name w:val="List Table 2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3">
    <w:name w:val="List Table 2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4">
    <w:name w:val="List Table 2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5">
    <w:name w:val="List Table 2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6">
    <w:name w:val="List Table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List Table 3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List Table 3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4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5 Dark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1">
    <w:name w:val="List Table 5 Dark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2">
    <w:name w:val="List Table 5 Dark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6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58">
    <w:name w:val="List Table 6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59">
    <w:name w:val="List Table 6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0">
    <w:name w:val="List Table 6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1">
    <w:name w:val="List Table 6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2">
    <w:name w:val="List Table 6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3">
    <w:name w:val="List Table 6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4">
    <w:name w:val="List Table 7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5">
    <w:name w:val="List Table 7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6">
    <w:name w:val="List Table 7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67">
    <w:name w:val="List Table 7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68">
    <w:name w:val="List Table 7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69">
    <w:name w:val="List Table 7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0">
    <w:name w:val="List Table 7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1">
    <w:name w:val="Lined - Accent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2">
    <w:name w:val="Lined - Accent 1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3">
    <w:name w:val="Lined - Accent 2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4">
    <w:name w:val="Lined - Accent 3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5">
    <w:name w:val="Lined - Accent 4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76">
    <w:name w:val="Lined - Accent 5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77">
    <w:name w:val="Lined - Accent 6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78">
    <w:name w:val="Bordered &amp; Lined - Accent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9">
    <w:name w:val="Bordered &amp; Lined - Accent 1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0">
    <w:name w:val="Bordered &amp; Lined - Accent 2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1">
    <w:name w:val="Bordered &amp; Lined - Accent 3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2">
    <w:name w:val="Bordered &amp; Lined - Accent 4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3">
    <w:name w:val="Bordered &amp; Lined - Accent 5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4">
    <w:name w:val="Bordered &amp; Lined - Accent 6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5">
    <w:name w:val="Bordered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6">
    <w:name w:val="Bordered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7">
    <w:name w:val="Bordered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88">
    <w:name w:val="Bordered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89">
    <w:name w:val="Bordered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0">
    <w:name w:val="Bordered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1">
    <w:name w:val="Bordered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792">
    <w:name w:val="footnote text"/>
    <w:basedOn w:val="809"/>
    <w:link w:val="793"/>
    <w:uiPriority w:val="99"/>
    <w:semiHidden/>
    <w:unhideWhenUsed/>
    <w:pPr>
      <w:spacing w:after="40" w:line="240" w:lineRule="auto"/>
    </w:pPr>
    <w:rPr>
      <w:sz w:val="18"/>
    </w:rPr>
  </w:style>
  <w:style w:type="character" w:styleId="793">
    <w:name w:val="Footnote Text Char"/>
    <w:link w:val="792"/>
    <w:uiPriority w:val="99"/>
    <w:rPr>
      <w:sz w:val="18"/>
    </w:rPr>
  </w:style>
  <w:style w:type="character" w:styleId="794">
    <w:name w:val="footnote reference"/>
    <w:basedOn w:val="810"/>
    <w:uiPriority w:val="99"/>
    <w:unhideWhenUsed/>
    <w:rPr>
      <w:vertAlign w:val="superscript"/>
    </w:rPr>
  </w:style>
  <w:style w:type="paragraph" w:styleId="795">
    <w:name w:val="endnote text"/>
    <w:basedOn w:val="809"/>
    <w:link w:val="796"/>
    <w:uiPriority w:val="99"/>
    <w:semiHidden/>
    <w:unhideWhenUsed/>
    <w:pPr>
      <w:spacing w:after="0" w:line="240" w:lineRule="auto"/>
    </w:pPr>
    <w:rPr>
      <w:sz w:val="20"/>
    </w:rPr>
  </w:style>
  <w:style w:type="character" w:styleId="796">
    <w:name w:val="Endnote Text Char"/>
    <w:link w:val="795"/>
    <w:uiPriority w:val="99"/>
    <w:rPr>
      <w:sz w:val="20"/>
    </w:rPr>
  </w:style>
  <w:style w:type="character" w:styleId="797">
    <w:name w:val="endnote reference"/>
    <w:basedOn w:val="810"/>
    <w:uiPriority w:val="99"/>
    <w:semiHidden/>
    <w:unhideWhenUsed/>
    <w:rPr>
      <w:vertAlign w:val="superscript"/>
    </w:rPr>
  </w:style>
  <w:style w:type="paragraph" w:styleId="798">
    <w:name w:val="toc 1"/>
    <w:basedOn w:val="809"/>
    <w:next w:val="809"/>
    <w:uiPriority w:val="39"/>
    <w:unhideWhenUsed/>
    <w:pPr>
      <w:ind w:left="0" w:right="0" w:firstLine="0"/>
      <w:spacing w:after="57"/>
    </w:pPr>
  </w:style>
  <w:style w:type="paragraph" w:styleId="799">
    <w:name w:val="toc 2"/>
    <w:basedOn w:val="809"/>
    <w:next w:val="809"/>
    <w:uiPriority w:val="39"/>
    <w:unhideWhenUsed/>
    <w:pPr>
      <w:ind w:left="283" w:right="0" w:firstLine="0"/>
      <w:spacing w:after="57"/>
    </w:pPr>
  </w:style>
  <w:style w:type="paragraph" w:styleId="800">
    <w:name w:val="toc 3"/>
    <w:basedOn w:val="809"/>
    <w:next w:val="809"/>
    <w:uiPriority w:val="39"/>
    <w:unhideWhenUsed/>
    <w:pPr>
      <w:ind w:left="567" w:right="0" w:firstLine="0"/>
      <w:spacing w:after="57"/>
    </w:pPr>
  </w:style>
  <w:style w:type="paragraph" w:styleId="801">
    <w:name w:val="toc 4"/>
    <w:basedOn w:val="809"/>
    <w:next w:val="809"/>
    <w:uiPriority w:val="39"/>
    <w:unhideWhenUsed/>
    <w:pPr>
      <w:ind w:left="850" w:right="0" w:firstLine="0"/>
      <w:spacing w:after="57"/>
    </w:pPr>
  </w:style>
  <w:style w:type="paragraph" w:styleId="802">
    <w:name w:val="toc 5"/>
    <w:basedOn w:val="809"/>
    <w:next w:val="809"/>
    <w:uiPriority w:val="39"/>
    <w:unhideWhenUsed/>
    <w:pPr>
      <w:ind w:left="1134" w:right="0" w:firstLine="0"/>
      <w:spacing w:after="57"/>
    </w:pPr>
  </w:style>
  <w:style w:type="paragraph" w:styleId="803">
    <w:name w:val="toc 6"/>
    <w:basedOn w:val="809"/>
    <w:next w:val="809"/>
    <w:uiPriority w:val="39"/>
    <w:unhideWhenUsed/>
    <w:pPr>
      <w:ind w:left="1417" w:right="0" w:firstLine="0"/>
      <w:spacing w:after="57"/>
    </w:pPr>
  </w:style>
  <w:style w:type="paragraph" w:styleId="804">
    <w:name w:val="toc 7"/>
    <w:basedOn w:val="809"/>
    <w:next w:val="809"/>
    <w:uiPriority w:val="39"/>
    <w:unhideWhenUsed/>
    <w:pPr>
      <w:ind w:left="1701" w:right="0" w:firstLine="0"/>
      <w:spacing w:after="57"/>
    </w:pPr>
  </w:style>
  <w:style w:type="paragraph" w:styleId="805">
    <w:name w:val="toc 8"/>
    <w:basedOn w:val="809"/>
    <w:next w:val="809"/>
    <w:uiPriority w:val="39"/>
    <w:unhideWhenUsed/>
    <w:pPr>
      <w:ind w:left="1984" w:right="0" w:firstLine="0"/>
      <w:spacing w:after="57"/>
    </w:pPr>
  </w:style>
  <w:style w:type="paragraph" w:styleId="806">
    <w:name w:val="toc 9"/>
    <w:basedOn w:val="809"/>
    <w:next w:val="809"/>
    <w:uiPriority w:val="39"/>
    <w:unhideWhenUsed/>
    <w:pPr>
      <w:ind w:left="2268" w:right="0" w:firstLine="0"/>
      <w:spacing w:after="57"/>
    </w:pPr>
  </w:style>
  <w:style w:type="paragraph" w:styleId="807">
    <w:name w:val="TOC Heading"/>
    <w:uiPriority w:val="39"/>
    <w:unhideWhenUsed/>
  </w:style>
  <w:style w:type="paragraph" w:styleId="808">
    <w:name w:val="table of figures"/>
    <w:basedOn w:val="809"/>
    <w:next w:val="809"/>
    <w:uiPriority w:val="99"/>
    <w:unhideWhenUsed/>
    <w:pPr>
      <w:spacing w:after="0" w:afterAutospacing="0"/>
    </w:pPr>
  </w:style>
  <w:style w:type="paragraph" w:styleId="809" w:default="1">
    <w:name w:val="Normal"/>
    <w:qFormat/>
  </w:style>
  <w:style w:type="character" w:styleId="810" w:default="1">
    <w:name w:val="Default Paragraph Font"/>
    <w:uiPriority w:val="1"/>
    <w:semiHidden/>
    <w:unhideWhenUsed/>
  </w:style>
  <w:style w:type="table" w:styleId="81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2" w:default="1">
    <w:name w:val="No List"/>
    <w:uiPriority w:val="99"/>
    <w:semiHidden/>
    <w:unhideWhenUsed/>
  </w:style>
  <w:style w:type="character" w:styleId="813">
    <w:name w:val="Hyperlink"/>
    <w:basedOn w:val="810"/>
    <w:uiPriority w:val="99"/>
    <w:unhideWhenUsed/>
    <w:rPr>
      <w:strike w:val="false"/>
      <w:color w:val="3272C0"/>
      <w:u w:val="none"/>
      <w:shd w:val="clear" w:color="auto" w:fill="auto"/>
    </w:rPr>
  </w:style>
  <w:style w:type="paragraph" w:styleId="814">
    <w:name w:val="Normal (Web)"/>
    <w:basedOn w:val="809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815" w:customStyle="1">
    <w:name w:val="s_1"/>
    <w:basedOn w:val="809"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816" w:customStyle="1">
    <w:name w:val="s_3"/>
    <w:basedOn w:val="809"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817" w:customStyle="1">
    <w:name w:val="s_16"/>
    <w:basedOn w:val="809"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818" w:customStyle="1">
    <w:name w:val="Default"/>
    <w:pPr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819" w:customStyle="1">
    <w:name w:val="gmail-pull-left"/>
    <w:basedOn w:val="810"/>
  </w:style>
  <w:style w:type="paragraph" w:styleId="820">
    <w:name w:val="Header"/>
    <w:basedOn w:val="809"/>
    <w:link w:val="82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21" w:customStyle="1">
    <w:name w:val="Верхний колонтитул Знак"/>
    <w:basedOn w:val="810"/>
    <w:link w:val="820"/>
    <w:uiPriority w:val="99"/>
  </w:style>
  <w:style w:type="paragraph" w:styleId="822">
    <w:name w:val="Footer"/>
    <w:basedOn w:val="809"/>
    <w:link w:val="82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23" w:customStyle="1">
    <w:name w:val="Нижний колонтитул Знак"/>
    <w:basedOn w:val="810"/>
    <w:link w:val="822"/>
    <w:uiPriority w:val="99"/>
  </w:style>
  <w:style w:type="paragraph" w:styleId="824">
    <w:name w:val="Balloon Text"/>
    <w:basedOn w:val="809"/>
    <w:link w:val="82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25" w:customStyle="1">
    <w:name w:val="Текст выноски Знак"/>
    <w:basedOn w:val="810"/>
    <w:link w:val="82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base.garant.ru/12124624/0deb16c5f61d078635b619914dde3291/" TargetMode="External"/><Relationship Id="rId9" Type="http://schemas.openxmlformats.org/officeDocument/2006/relationships/hyperlink" Target="https://internet.garant.ru/" TargetMode="External"/><Relationship Id="rId10" Type="http://schemas.openxmlformats.org/officeDocument/2006/relationships/hyperlink" Target="https://base.garant.ru/12124624/0deb16c5f61d078635b619914dde3291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Р7-Офис/7.1.1.35</Application>
  <Company>Hewlett-Packard Company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Сенкевич Анна Викторовна</dc:creator>
  <cp:revision>171</cp:revision>
  <dcterms:created xsi:type="dcterms:W3CDTF">2023-04-10T10:42:00Z</dcterms:created>
  <dcterms:modified xsi:type="dcterms:W3CDTF">2026-05-20T07:43:33Z</dcterms:modified>
</cp:coreProperties>
</file>